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黑体" w:hAnsi="黑体" w:eastAsia="黑体" w:cs="黑体"/>
          <w:b/>
          <w:bCs w:val="0"/>
          <w:sz w:val="48"/>
          <w:szCs w:val="48"/>
        </w:rPr>
      </w:pPr>
      <w:r>
        <w:rPr>
          <w:rFonts w:hint="eastAsia" w:ascii="黑体" w:hAnsi="黑体" w:eastAsia="黑体" w:cs="黑体"/>
          <w:b/>
          <w:bCs w:val="0"/>
          <w:sz w:val="48"/>
          <w:szCs w:val="48"/>
          <w:lang w:val="en-US" w:eastAsia="zh-CN"/>
        </w:rPr>
        <w:t>林业综合服务中心2021年</w:t>
      </w:r>
      <w:r>
        <w:rPr>
          <w:rFonts w:hint="eastAsia" w:ascii="黑体" w:hAnsi="黑体" w:eastAsia="黑体" w:cs="黑体"/>
          <w:b/>
          <w:bCs w:val="0"/>
          <w:sz w:val="48"/>
          <w:szCs w:val="48"/>
        </w:rPr>
        <w:t>政府信息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 w:val="0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8"/>
          <w:szCs w:val="48"/>
        </w:rPr>
        <w:t>公开工作年度报告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 w:val="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本报告</w:t>
      </w:r>
      <w:r>
        <w:rPr>
          <w:rFonts w:hint="eastAsia" w:ascii="仿宋" w:hAnsi="仿宋" w:eastAsia="仿宋" w:cs="仿宋"/>
          <w:sz w:val="30"/>
          <w:szCs w:val="30"/>
        </w:rPr>
        <w:t>根据《中华人民共和国政府信息公开条例》(国务院令第711号修订)等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</w:rPr>
        <w:t>要求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编制而成，并向社会公开发布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本报告内容包括总体情况、主动公开政府信息情况、收到和处理政府信息公开申请情况、政府信息公开行政复议和行政诉讼情况、存在的主要问题及改进情况、其他需要报告的事项等六个方面。本报告所列数据统计期限自2021年1月1日起至2021年12月31日止。本</w:t>
      </w:r>
      <w:r>
        <w:rPr>
          <w:rFonts w:hint="eastAsia" w:ascii="仿宋" w:hAnsi="仿宋" w:eastAsia="仿宋" w:cs="仿宋"/>
          <w:sz w:val="30"/>
          <w:szCs w:val="30"/>
        </w:rPr>
        <w:t>报告可在“阳谷县人民政府”网站（http://www.yanggu.gov.cn/）的政府信息公开专栏中查看和下载。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如有对本报告有疑问，请与本单位负责政务公开工作的机构联系（机构名称：阳谷县林业综合服务中心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0635-6361622；联系地址：阳谷县谷山中路17号 ；邮政编码：252300 ；电子邮箱：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"mailto:yanggulinye@126.com）。"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0"/>
          <w:szCs w:val="30"/>
          <w:lang w:val="en-US" w:eastAsia="zh-CN"/>
        </w:rPr>
        <w:t>yanggulinye@126.com</w:t>
      </w:r>
      <w:r>
        <w:rPr>
          <w:rStyle w:val="7"/>
          <w:rFonts w:hint="eastAsia" w:ascii="仿宋" w:hAnsi="仿宋" w:eastAsia="仿宋" w:cs="仿宋"/>
          <w:sz w:val="30"/>
          <w:szCs w:val="30"/>
          <w:lang w:eastAsia="zh-CN"/>
        </w:rPr>
        <w:t>）。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我单位严格按照《中华人民共和国政府信息公开条例》，坚持把政务公开工作作为改进机关形象和工作作风的重要载体，强化组织领导，健全工作机制，坚持以公开为常态，以不公开为例外的原则，结合我县林业工作实际，切实做好政府信息分类公开，主动公开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条政府信息，收到0起政府信息公开申请。现将我中心202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年政府信息公开工作情况汇报如下：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（一）主动公开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1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一是做好机关职能信息公开。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政府网站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县直部门信息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栏目公开了阳谷县林业综合服务中心机构信息、主要职责信息、所属单位信息、基本信息及领导信息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，为公众查询单位基础信息提供便利。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1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243840</wp:posOffset>
            </wp:positionV>
            <wp:extent cx="5980430" cy="2740660"/>
            <wp:effectExtent l="0" t="0" r="8890" b="254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是及时公开发展规划计划信息。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及时公开“十四五”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期间林业“十四五”规划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53340</wp:posOffset>
            </wp:positionV>
            <wp:extent cx="5880735" cy="2278380"/>
            <wp:effectExtent l="0" t="0" r="1905" b="7620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三是及时公开重要部署执行落实。及时公开我中心重要部署及年度重点工作一至四季度进展、成效及后续举措。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172085</wp:posOffset>
            </wp:positionV>
            <wp:extent cx="5273675" cy="2828925"/>
            <wp:effectExtent l="0" t="0" r="14605" b="5715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1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是做好财政信息公开。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及时公开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阳谷县林业综合服务中心部门决算。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1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76200</wp:posOffset>
            </wp:positionV>
            <wp:extent cx="5537835" cy="2331085"/>
            <wp:effectExtent l="0" t="0" r="9525" b="635"/>
            <wp:wrapSquare wrapText="bothSides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是做好年度工作要点落实，提升基层政务公开规范化标准水平。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落实基层政务公开标准化规范化工作，对照领域标准目录，更新编制了主动公开基本目录，政务公开质量和实效进一步提升。</w:t>
      </w:r>
    </w:p>
    <w:p>
      <w:pPr>
        <w:ind w:firstLine="602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六是做好加强政务公开培训工作。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我中心始终把政府信息公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1257300</wp:posOffset>
            </wp:positionV>
            <wp:extent cx="4846320" cy="3635375"/>
            <wp:effectExtent l="0" t="0" r="0" b="6985"/>
            <wp:wrapSquare wrapText="bothSides"/>
            <wp:docPr id="13" name="图片 13" descr="W020211123563677536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0202111235636775362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开工作摆在突出位置，及时召开会议，听取工作汇报，分析存在问题并先后召开政务公开培训学习两次，不断提高政务信息公开工作人员的业务水平和综合素质。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1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3764915</wp:posOffset>
            </wp:positionV>
            <wp:extent cx="4770120" cy="3576320"/>
            <wp:effectExtent l="0" t="0" r="0" b="5080"/>
            <wp:wrapSquare wrapText="bothSides"/>
            <wp:docPr id="14" name="图片 14" descr="W02021112356947832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0202111235694783220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健全完善政府信息依申请公开制度，规范案件登记、审核、办理、答复、归档等环节工作流程，严格参照答复格式文书办理依申请公开案件，继续推动依申请公开工作标准化规范化。202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收到信息公开申请。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（三）部门信息管理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信息日常管理，建立完善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信息制作、获取、保存、处理等方面的制度。完善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信息公开动态管理机制，对已公开的政策法规文件，根据立、改、废等情况动态调整更新。完善信息公开发布审核机制，切实把好政治关、政策关、内容关。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（四）部门信息公开平台建设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高度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重视政府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门户网站作为政务公开第一平台的作用，集中发布信息公开指南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信息公开年度报告。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无任何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新媒体账号。发挥县政府门户网站、政务新媒体和广播电视报纸等等多种平台作用，注重多渠道和载体发布政府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信息，更多运用信息化手段做好政务公开工作，扩大信息传播力和影响力。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2" w:firstLineChars="2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（五）监督保障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中心认真贯彻落实政府信息公开条例，落实信息公开相关工作规定，制定完善的信息公开制度，加强政务公开机构建设、专职人员配备保障。加大监督保障力度，将部门年度信息公开推进情况纳入部门绩效考核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588"/>
        <w:gridCol w:w="97"/>
        <w:gridCol w:w="685"/>
        <w:gridCol w:w="685"/>
        <w:gridCol w:w="685"/>
        <w:gridCol w:w="68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2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95" w:firstLineChars="131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（一）存在的主要问题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信息公开还不够及时，对政府信息公开的一些规定掌握不够准确，影响了政府信息公开的质量和时效。</w:t>
      </w:r>
    </w:p>
    <w:p>
      <w:pPr>
        <w:pStyle w:val="4"/>
        <w:keepNext w:val="0"/>
        <w:keepLines w:val="0"/>
        <w:widowControl/>
        <w:suppressLineNumbers w:val="0"/>
        <w:spacing w:before="100" w:beforeAutospacing="1" w:after="0" w:afterAutospacing="0" w:line="234" w:lineRule="atLeast"/>
        <w:ind w:left="0" w:right="0" w:firstLine="443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（二）改进情况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一是进一步把握公开重点。继续深入贯彻落实《政府信息公开条例》及其他相关政策，确保政府权力在群众的监督下运行。二是进一步推进政务公开规范化、标准化、制度化建设。通过开展多层次、多类型的政务公开业务培训，进一步提高管理人员履职能力和水平。继续健全完善有关检查制度、责任追究制度、反馈制度和考核评估制度，以制度规范促政府信息和政务公开工作落到实处。三是加强主动宣传，健全信息发布、政策解读、回应关切及舆论引导机制。尤其对林业方面的重大方针政策、重要法规规章发布后，要及时跟进，做好政策解读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（一）收取信息处理费情况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2021年我中心未收到依申请公开，没有收取信息处理费。</w:t>
      </w: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（二）建议提案办理总体情况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今年我中心共收到县人民政府交办的人大代表《关于把森林防火经费纳入财政预算的建议》一件，政协委员《关于切实加强飞絮污染治理的提案》一件，现已全部按期办结并已将答复在县政府网站公开。</w:t>
      </w:r>
    </w:p>
    <w:p>
      <w:pPr>
        <w:pStyle w:val="4"/>
        <w:keepNext w:val="0"/>
        <w:keepLines w:val="0"/>
        <w:widowControl/>
        <w:suppressLineNumbers w:val="0"/>
        <w:spacing w:before="100" w:beforeAutospacing="1" w:after="0" w:afterAutospacing="0" w:line="234" w:lineRule="atLeast"/>
        <w:ind w:left="0" w:right="0" w:firstLine="443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6F71"/>
    <w:rsid w:val="08341E68"/>
    <w:rsid w:val="093E700A"/>
    <w:rsid w:val="0F922A21"/>
    <w:rsid w:val="12FB2B94"/>
    <w:rsid w:val="15AA64D3"/>
    <w:rsid w:val="163E00BC"/>
    <w:rsid w:val="1E317D82"/>
    <w:rsid w:val="1E4566A4"/>
    <w:rsid w:val="1EF4763B"/>
    <w:rsid w:val="20B14271"/>
    <w:rsid w:val="22F46777"/>
    <w:rsid w:val="291A6F71"/>
    <w:rsid w:val="2C826FD2"/>
    <w:rsid w:val="2CFF551F"/>
    <w:rsid w:val="33134F49"/>
    <w:rsid w:val="33855D14"/>
    <w:rsid w:val="35EE4310"/>
    <w:rsid w:val="366704A1"/>
    <w:rsid w:val="3F761765"/>
    <w:rsid w:val="3FDC2C78"/>
    <w:rsid w:val="48345BCC"/>
    <w:rsid w:val="49950786"/>
    <w:rsid w:val="4C11675F"/>
    <w:rsid w:val="4CE46AB0"/>
    <w:rsid w:val="4E873E5B"/>
    <w:rsid w:val="56F67425"/>
    <w:rsid w:val="5C6E5E2F"/>
    <w:rsid w:val="63507F68"/>
    <w:rsid w:val="64A50539"/>
    <w:rsid w:val="66D3147B"/>
    <w:rsid w:val="69D478B9"/>
    <w:rsid w:val="71E60214"/>
    <w:rsid w:val="776B4B4A"/>
    <w:rsid w:val="793137B0"/>
    <w:rsid w:val="799A1262"/>
    <w:rsid w:val="7AE27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2021-10-14T08:13:00Z</dcterms:created>
  <dc:creator>Administrator</dc:creator>
  <cp:lastModifiedBy>WPS辛</cp:lastModifiedBy>
  <cp:lastPrinted>2022-01-19T00:23:00Z</cp:lastPrinted>
  <dcterms:modified xsi:type="dcterms:W3CDTF">2022-01-20T08:44:29Z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B6552622D50F410C88971D928130C1DF</vt:lpwstr>
  </property>
</Properties>
</file>