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阳谷县2023年政府信息公开工作年度报告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本报告根据《中华人民共和国政府信息公开条例》(国务院令第711号修订)等工作要求编制而成，并向社会公开发布。本报告内容包括总体情况、主动公开政府信息情况、收到和处理政府信息公开申请情况、政府信息公开行政复议和行政诉讼情况、存在的主要问题及改进情况、其他需要报告的事项等六个方面。本报告可在“阳谷县人民政府”网站（http://www.yanggu.gov.cn）的政府信息公开专栏中查看和下载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一、总体情况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2023年，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阳谷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县应急管理局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坚持以习近平新时代中国特色社会主义思想为指导，全面深入贯彻落实党的二十大精神，认真贯彻落实《中华人民共和国政府信息公开条例》和县委、县政府及上级有关部门的工作部署，按照公正、公平、合法、便民原则，结合工作实际，完善公开制度，强化公开监督，统筹推进应急管理领域信息公开工作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式，工作取得了明显成效。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现将阳谷县应急管理局2023年度政府信息公开工作情况报告如下：   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（一）主动公开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2023年，我局共在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阳谷县政府网站主主动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公开信息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75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条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,其中,会议公开5条,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财政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预决算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信息4条,公告公示3条,行政执法信息34条,提案办理1条,重大部署执行10条,救灾信息6条,放管服1条,其他11条。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（二）依申请公开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2023年,收到依申请公开3条,已按照《中华人民共和国政府信息公开条例》(国务院令第711号修订)规定进行回复。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（三）政府信息管理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按照要求确定所办公文、信息是否涉密，确定不涉密后才决定公开；严格执行政府信息公开制度和保密审查制度，坚持信息公开前的保密审查，做到层层把关，风险共担，保障政府信息公开工作的开展。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（四）政府信息公开平台建设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我局高度重视政务公开工作，严格按照政府信息公开工作要求，规范公开流程，使政府信息公开更加透明化，进一步提高群众满意度。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（五）监督保障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严格按照《中华人民共和国政府信息公开条例》规定开展政务公开工作，明确专人负责，政府信息公开前由局主要领导和分管领导全面把关，确保各类信息的及时性、有效性。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本年处理决定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三、收到和处理政府信息公开申请情况</w:t>
      </w:r>
    </w:p>
    <w:tbl>
      <w:tblPr>
        <w:tblStyle w:val="7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四、政府信息公开行政复议、行政诉讼情况</w:t>
      </w:r>
    </w:p>
    <w:tbl>
      <w:tblPr>
        <w:tblStyle w:val="7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五、存在的主要问题及改进情况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（一）存在的主要问题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我局认真贯彻落实上级各项政务公开工作任务，政府信息的服务作用得到了发挥，但仍有待提高。主要表现在：一是政务公开工作力量薄弱。政务公开工作人员力量配备不足，业务能力有待提高，二是信息公开质量有待提高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（二）改进情况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我局将继续按照政府信息公开工作要求，进一步做好政府信息公开工作，加强对政府信息公开条例和安全生产、防灾减灾救灾相关政策的学习，依法公开工作信息，加大重点领域政府信息公开力度，不断拓展和丰富政务公开的覆盖面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六、其他需要报告的事项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（一）收取信息处理费情况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无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（二）落实政务公开工作要点情况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一是坚持政务工作常态公开。编发《县应急管理局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政府信息公开指南》《县应急管理局政府信息主动公开基本目录》，明确信息公开内容、公开时限、公开渠道等，实时公开重点信息。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二是严格执法信息公示。梳理和编制《县应急管理局双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随机抽查事项》《县应急管理局随机抽查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计划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》等，确保执法事项名称、设定依据、检查频次等信息全面公示，以政务公开促监管水平提升。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三是不断深化政民互动。积极参与开展政务公开月活动，结合“全国防灾减灾日”“安全生产月”等时间节点开展系列宣传教育，推动宣传教育进机关、进企业、进学校、进社区、进家庭，进一步拉近了政府与群众的距离，切实保障了群众知情权、参与权和监督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四是推动政策落地落实。领导干部深入企业一线，宣讲解读相关政策，打通政策落实“最后一公里”，真正做到政策惠民惠企。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（三）建议提案办理结果公开情况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2023年我局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人大提案1个，政协提案1个，</w:t>
      </w:r>
      <w:r>
        <w:rPr>
          <w:rFonts w:ascii="仿宋_GB2312" w:hAnsi="仿宋" w:eastAsia="仿宋_GB2312" w:cs="仿宋"/>
          <w:color w:val="000000" w:themeColor="text1"/>
          <w:sz w:val="32"/>
          <w:szCs w:val="32"/>
        </w:rPr>
        <w:t>均按时答复，做到件件有结果，事事有回音。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（四）政务公开工作创新实践情况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无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（五）报告数据统计说明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本报告所列数据统计期限自2023年1月1日起至2023年12月31日止。</w:t>
      </w:r>
    </w:p>
    <w:p>
      <w:pPr>
        <w:spacing w:line="580" w:lineRule="exact"/>
        <w:ind w:firstLine="640" w:firstLineChars="200"/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color w:val="000000" w:themeColor="text1"/>
          <w:sz w:val="32"/>
          <w:szCs w:val="32"/>
        </w:rPr>
        <w:t>（六）其他需要说明事项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如有对本报告有疑问，请与本单位负责政务公开工作的机构联系。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机构名称：阳谷县应急管理局办公室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联系电话：0635-6391715           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电子邮箱： ygajj@163.com         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联系地址：谷山南路14号302室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邮政编码： 252300               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1738240591"/>
                </w:sdtPr>
                <w:sdtEndPr>
                  <w:rPr>
                    <w:rFonts w:ascii="宋体" w:hAnsi="宋体" w:eastAsia="宋体"/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center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宋体" w:hAnsi="宋体" w:eastAsia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3D1"/>
    <w:rsid w:val="00022AAA"/>
    <w:rsid w:val="00072AE2"/>
    <w:rsid w:val="000A2FBB"/>
    <w:rsid w:val="000E1E7C"/>
    <w:rsid w:val="000F5C2E"/>
    <w:rsid w:val="001B576F"/>
    <w:rsid w:val="001E1F91"/>
    <w:rsid w:val="00266991"/>
    <w:rsid w:val="0027479F"/>
    <w:rsid w:val="00276FC4"/>
    <w:rsid w:val="002D7F9F"/>
    <w:rsid w:val="002F2197"/>
    <w:rsid w:val="0036007F"/>
    <w:rsid w:val="00397CF8"/>
    <w:rsid w:val="003C71ED"/>
    <w:rsid w:val="00563328"/>
    <w:rsid w:val="00565BE1"/>
    <w:rsid w:val="00585F65"/>
    <w:rsid w:val="006E3A7A"/>
    <w:rsid w:val="0070573C"/>
    <w:rsid w:val="00713BC0"/>
    <w:rsid w:val="007F73AD"/>
    <w:rsid w:val="0080348A"/>
    <w:rsid w:val="008147AE"/>
    <w:rsid w:val="00895228"/>
    <w:rsid w:val="0089672C"/>
    <w:rsid w:val="008D7A17"/>
    <w:rsid w:val="008E39CD"/>
    <w:rsid w:val="009554FD"/>
    <w:rsid w:val="009B0681"/>
    <w:rsid w:val="009E446A"/>
    <w:rsid w:val="00A90400"/>
    <w:rsid w:val="00AA3405"/>
    <w:rsid w:val="00B7698A"/>
    <w:rsid w:val="00B83CAB"/>
    <w:rsid w:val="00C372F5"/>
    <w:rsid w:val="00C53CD8"/>
    <w:rsid w:val="00C654CB"/>
    <w:rsid w:val="00C97F51"/>
    <w:rsid w:val="00CB1517"/>
    <w:rsid w:val="00CB1DB6"/>
    <w:rsid w:val="00CB63D1"/>
    <w:rsid w:val="00DD12A1"/>
    <w:rsid w:val="00F00377"/>
    <w:rsid w:val="00F97B01"/>
    <w:rsid w:val="03B0098E"/>
    <w:rsid w:val="0D9D01B6"/>
    <w:rsid w:val="23FB6C6F"/>
    <w:rsid w:val="25851DF4"/>
    <w:rsid w:val="4B876772"/>
    <w:rsid w:val="5B5E0A0B"/>
    <w:rsid w:val="5CD66465"/>
    <w:rsid w:val="6AE3188A"/>
    <w:rsid w:val="774D4BD8"/>
    <w:rsid w:val="7D7E0F8B"/>
    <w:rsid w:val="FFBD9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text-tag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482</Words>
  <Characters>2754</Characters>
  <Lines>22</Lines>
  <Paragraphs>6</Paragraphs>
  <TotalTime>75</TotalTime>
  <ScaleCrop>false</ScaleCrop>
  <LinksUpToDate>false</LinksUpToDate>
  <CharactersWithSpaces>3230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2024-01-01T23:20:00Z</dcterms:created>
  <dc:creator>元华 戚</dc:creator>
  <cp:lastModifiedBy>user</cp:lastModifiedBy>
  <cp:lastPrinted>2024-01-02T16:50:00Z</cp:lastPrinted>
  <dcterms:modified xsi:type="dcterms:W3CDTF">2024-01-19T09:51:55Z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